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43" w:rsidRPr="00F0304C" w:rsidRDefault="00E45D43" w:rsidP="00E45D43">
      <w:pPr>
        <w:pStyle w:val="Nadpis1"/>
        <w:tabs>
          <w:tab w:val="clear" w:pos="957"/>
          <w:tab w:val="num" w:pos="357"/>
        </w:tabs>
        <w:ind w:left="357"/>
        <w:rPr>
          <w:rFonts w:ascii="Garamond" w:hAnsi="Garamond"/>
          <w:sz w:val="24"/>
          <w:szCs w:val="24"/>
        </w:rPr>
      </w:pPr>
      <w:r w:rsidRPr="00F0304C">
        <w:rPr>
          <w:rFonts w:ascii="Garamond" w:hAnsi="Garamond"/>
          <w:sz w:val="24"/>
          <w:szCs w:val="24"/>
        </w:rPr>
        <w:t>Mlčenlivost</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Zaměstnanec se tímto zavazuje, že nebude využívat, vyzrazovat či sdělovat anebo jakkoli zpřístupňovat, ať již během výkonu pracovního poměru podle této Smlouvy nebo po jejím ukončení, jakékoli osobě jakékoli obchodní tajemství či jiné důvěrné informace související s provozem, obchodem a finančními záležitostmi Zaměstnavatele či jakýchkoli společností v koncernu Zaměstnavatele, jejich klientů či dodavatelů anebo spolupracovníků, včetně detailů týkajících se vnitřní struktury, mezd, klientů, detailů produktů, technických informací a dat včetně výzkumu a vývoje a zdrojových kódů k výrobkům, cen a slev, výrobních postupů, distribučních postupů, seznamů zákazníků, kalkulačních principů, firemního Duševního vlastnictví a know-how nebo obchodních podmínek, projektů a záměrů, o kterých se Zaměstnanec dozví v rámci výkonu svého zaměstnání pro Zaměstnavatele (dále jen „</w:t>
      </w:r>
      <w:r w:rsidRPr="00F0304C">
        <w:rPr>
          <w:rFonts w:ascii="Garamond" w:hAnsi="Garamond"/>
          <w:b/>
          <w:sz w:val="24"/>
          <w:szCs w:val="24"/>
        </w:rPr>
        <w:t>Důvěrné informace</w:t>
      </w:r>
      <w:r w:rsidRPr="00F0304C">
        <w:rPr>
          <w:rFonts w:ascii="Garamond" w:hAnsi="Garamond"/>
          <w:sz w:val="24"/>
          <w:szCs w:val="24"/>
        </w:rPr>
        <w:t>“). Tím není dotčena jakákoli povinnost mlčenlivosti stanovená zvláštními předpisy. V případě pochybností je Zaměstnanec povinen požádat Zaměstnavatele o instrukci, zda a v jakém rozsahu se na určitou informaci závazek mlčenlivosti vztahuje.</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Předávání Důvěrných</w:t>
      </w:r>
      <w:r w:rsidRPr="00F0304C">
        <w:rPr>
          <w:rFonts w:ascii="Garamond" w:hAnsi="Garamond"/>
          <w:bCs/>
          <w:sz w:val="24"/>
          <w:szCs w:val="24"/>
        </w:rPr>
        <w:t xml:space="preserve"> informací </w:t>
      </w:r>
      <w:r w:rsidRPr="00F0304C">
        <w:rPr>
          <w:rFonts w:ascii="Garamond" w:hAnsi="Garamond"/>
          <w:sz w:val="24"/>
          <w:szCs w:val="24"/>
        </w:rPr>
        <w:t xml:space="preserve">ostatním zaměstnancům v rámci Zaměstnavatele je povoleno pouze tehdy, pokud je příjemce požaduje pro výkon své práce pro Zaměstnavatele. Zaměstnanec je rovněž povinen vynaložit veškerou potřebnou péči, aby zamezil neoprávněnému zveřejnění, sdělení či využívání Důvěrných informací a jakýchkoli dokumentů Důvěrné informace obsahujících nebo na ně odkazujících. Zaměstnavatel a proto i Zaměstnanec je dále povinen striktně dodržovat zvláštní pravidla týkající se důvěrnosti (např. závazek nezveřejňovat informace), kterými se Zaměstnavatel zavázal vůči jednotlivým zákazníkům. </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Jakékoliv dokumenty či informace uložené</w:t>
      </w:r>
      <w:r w:rsidRPr="00F0304C">
        <w:rPr>
          <w:rFonts w:ascii="Garamond" w:hAnsi="Garamond"/>
          <w:bCs/>
          <w:sz w:val="24"/>
          <w:szCs w:val="24"/>
        </w:rPr>
        <w:t xml:space="preserve"> na </w:t>
      </w:r>
      <w:r w:rsidRPr="00F0304C">
        <w:rPr>
          <w:rFonts w:ascii="Garamond" w:hAnsi="Garamond"/>
          <w:sz w:val="24"/>
          <w:szCs w:val="24"/>
        </w:rPr>
        <w:t>jakýchkoli mediích převzaté nebo připravené Zaměstnancem v souvislosti s jeho prací zůstávají majetkem</w:t>
      </w:r>
      <w:r w:rsidRPr="00F0304C">
        <w:rPr>
          <w:rFonts w:ascii="Garamond" w:hAnsi="Garamond"/>
          <w:bCs/>
          <w:sz w:val="24"/>
          <w:szCs w:val="24"/>
        </w:rPr>
        <w:t xml:space="preserve"> Zaměstnavatele </w:t>
      </w:r>
      <w:r w:rsidRPr="00F0304C">
        <w:rPr>
          <w:rFonts w:ascii="Garamond" w:hAnsi="Garamond"/>
          <w:sz w:val="24"/>
          <w:szCs w:val="24"/>
        </w:rPr>
        <w:t>a mohou být využity výlučně v souvislosti s pracovní činností dle této Smlouvy. Zaměstnanec není oprávněn pořizovat si jakékoliv kopie nebo zálohy takových</w:t>
      </w:r>
      <w:r w:rsidRPr="00F0304C">
        <w:rPr>
          <w:rFonts w:ascii="Garamond" w:hAnsi="Garamond"/>
          <w:bCs/>
          <w:sz w:val="24"/>
          <w:szCs w:val="24"/>
        </w:rPr>
        <w:t xml:space="preserve"> dokumentů či </w:t>
      </w:r>
      <w:r w:rsidRPr="00F0304C">
        <w:rPr>
          <w:rFonts w:ascii="Garamond" w:hAnsi="Garamond"/>
          <w:sz w:val="24"/>
          <w:szCs w:val="24"/>
        </w:rPr>
        <w:t>informací na své soukromé datové nosiče či jiným obdobným</w:t>
      </w:r>
      <w:r w:rsidRPr="00F0304C">
        <w:rPr>
          <w:rFonts w:ascii="Garamond" w:hAnsi="Garamond"/>
          <w:bCs/>
          <w:sz w:val="24"/>
          <w:szCs w:val="24"/>
        </w:rPr>
        <w:t xml:space="preserve"> způsobem</w:t>
      </w:r>
      <w:r w:rsidRPr="00F0304C">
        <w:rPr>
          <w:rFonts w:ascii="Garamond" w:hAnsi="Garamond"/>
          <w:sz w:val="24"/>
          <w:szCs w:val="24"/>
        </w:rPr>
        <w:t>. Nejpozději ke dni ukončení pracovního poměru je Zaměstnanec povinen veškeré dokumenty či jiná media obsahující Důvěrné informace nebo jakékoli jiné informace Zaměstnavatele (bez ohledu na to, jakým je získal) Zaměstnavateli vrátit.</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Zaměstnanec může být zbaven závazku mlčenlivosti pouze písemným prohlášením Zaměstnavatele nebo na základě zvláštních právních předpisů. V případě, že Zaměstnanec bude povinen na základě takových právních předpisů poskytnout Důvěrné informace, je povinen o tom neprodleně informovat Zaměstnavatele, a to ještě před splněním takového požadavku.</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Porušení výše uvedených povinností souvisejících se závazkem mlčenlivosti může mít mj. pracovněprávní implikace, včetně skončení pracovního poměru, a může též být důvodem vzniku nároku Zaměstnavatele na náhradu škody.</w:t>
      </w:r>
    </w:p>
    <w:p w:rsidR="00E45D43" w:rsidRPr="00F0304C" w:rsidRDefault="00E45D43" w:rsidP="00E45D43">
      <w:pPr>
        <w:pStyle w:val="Nadpis2"/>
        <w:spacing w:line="240" w:lineRule="auto"/>
        <w:rPr>
          <w:rFonts w:ascii="Garamond" w:hAnsi="Garamond"/>
          <w:sz w:val="24"/>
          <w:szCs w:val="24"/>
        </w:rPr>
      </w:pPr>
      <w:r w:rsidRPr="00F0304C">
        <w:rPr>
          <w:rFonts w:ascii="Garamond" w:hAnsi="Garamond"/>
          <w:sz w:val="24"/>
          <w:szCs w:val="24"/>
        </w:rPr>
        <w:t>V souladu s</w:t>
      </w:r>
      <w:bookmarkStart w:id="0" w:name="_GoBack"/>
      <w:bookmarkEnd w:id="0"/>
      <w:r w:rsidR="0027711B">
        <w:rPr>
          <w:rFonts w:ascii="Garamond" w:hAnsi="Garamond"/>
          <w:sz w:val="24"/>
          <w:szCs w:val="24"/>
        </w:rPr>
        <w:t> čl.</w:t>
      </w:r>
      <w:r w:rsidRPr="00F0304C">
        <w:rPr>
          <w:rFonts w:ascii="Garamond" w:hAnsi="Garamond"/>
          <w:sz w:val="24"/>
          <w:szCs w:val="24"/>
        </w:rPr>
        <w:t xml:space="preserve"> </w:t>
      </w:r>
      <w:r w:rsidR="0027711B">
        <w:rPr>
          <w:rFonts w:ascii="Garamond" w:hAnsi="Garamond"/>
          <w:sz w:val="24"/>
          <w:szCs w:val="24"/>
        </w:rPr>
        <w:t>28 odst. 3</w:t>
      </w:r>
      <w:r w:rsidRPr="00F0304C">
        <w:rPr>
          <w:rFonts w:ascii="Garamond" w:hAnsi="Garamond"/>
          <w:sz w:val="24"/>
          <w:szCs w:val="24"/>
        </w:rPr>
        <w:t xml:space="preserve"> </w:t>
      </w:r>
      <w:r w:rsidR="0027711B">
        <w:rPr>
          <w:rFonts w:ascii="Garamond" w:hAnsi="Garamond"/>
          <w:sz w:val="24"/>
          <w:szCs w:val="24"/>
        </w:rPr>
        <w:t>nařízení EU 2016</w:t>
      </w:r>
      <w:r w:rsidR="0027711B">
        <w:rPr>
          <w:rFonts w:ascii="Garamond" w:hAnsi="Garamond"/>
          <w:sz w:val="24"/>
          <w:szCs w:val="24"/>
          <w:lang w:val="en-US"/>
        </w:rPr>
        <w:t>/</w:t>
      </w:r>
      <w:r w:rsidR="0027711B">
        <w:rPr>
          <w:rFonts w:ascii="Garamond" w:hAnsi="Garamond"/>
          <w:sz w:val="24"/>
          <w:szCs w:val="24"/>
        </w:rPr>
        <w:t>679</w:t>
      </w:r>
      <w:r w:rsidRPr="00F0304C">
        <w:rPr>
          <w:rFonts w:ascii="Garamond" w:hAnsi="Garamond"/>
          <w:sz w:val="24"/>
          <w:szCs w:val="24"/>
        </w:rPr>
        <w:t xml:space="preserve">, o ochraně </w:t>
      </w:r>
      <w:r w:rsidR="0027711B">
        <w:rPr>
          <w:rFonts w:ascii="Garamond" w:hAnsi="Garamond"/>
          <w:sz w:val="24"/>
          <w:szCs w:val="24"/>
        </w:rPr>
        <w:t>fyzických osob v souvislosti se zpracováním osobních údajů a o volném pohybu těchto údajů</w:t>
      </w:r>
      <w:r w:rsidRPr="00F0304C">
        <w:rPr>
          <w:rFonts w:ascii="Garamond" w:hAnsi="Garamond"/>
          <w:sz w:val="24"/>
          <w:szCs w:val="24"/>
        </w:rPr>
        <w:t xml:space="preserve"> (dále jen „</w:t>
      </w:r>
      <w:r w:rsidR="0027711B">
        <w:rPr>
          <w:rFonts w:ascii="Garamond" w:hAnsi="Garamond"/>
          <w:b/>
          <w:sz w:val="24"/>
          <w:szCs w:val="24"/>
        </w:rPr>
        <w:t>GDPR</w:t>
      </w:r>
      <w:r w:rsidRPr="00F0304C">
        <w:rPr>
          <w:rFonts w:ascii="Garamond" w:hAnsi="Garamond"/>
          <w:sz w:val="24"/>
          <w:szCs w:val="24"/>
        </w:rPr>
        <w:t>“) Zaměstnanec, který bude pro Zaměstnavatele plnit pracovní úkoly, které pro Zaměstnavatele vyplývají z </w:t>
      </w:r>
      <w:r w:rsidR="0027711B">
        <w:rPr>
          <w:rFonts w:ascii="Garamond" w:hAnsi="Garamond"/>
          <w:sz w:val="24"/>
          <w:szCs w:val="24"/>
        </w:rPr>
        <w:t>GDPR</w:t>
      </w:r>
      <w:r w:rsidRPr="00F0304C">
        <w:rPr>
          <w:rFonts w:ascii="Garamond" w:hAnsi="Garamond"/>
          <w:sz w:val="24"/>
          <w:szCs w:val="24"/>
        </w:rPr>
        <w:t xml:space="preserve">, bere na vědomí pro něj vyplývající specifické povinnosti dle </w:t>
      </w:r>
      <w:r w:rsidR="0027711B">
        <w:rPr>
          <w:rFonts w:ascii="Garamond" w:hAnsi="Garamond"/>
          <w:sz w:val="24"/>
          <w:szCs w:val="24"/>
        </w:rPr>
        <w:t>GDPR</w:t>
      </w:r>
      <w:r w:rsidRPr="00F0304C">
        <w:rPr>
          <w:rFonts w:ascii="Garamond" w:hAnsi="Garamond"/>
          <w:sz w:val="24"/>
          <w:szCs w:val="24"/>
        </w:rPr>
        <w:t xml:space="preserve">, zejména povinnost zachovávat mlčenlivost ohledně osobních údajů, které se dozvěděl nebo získal kdykoli z důvodu anebo v souvislosti s vykonáváním povinností vůči Zaměstnavateli jako i bezpečnostních opatření přijatých anebo plánovaných, kterých sdělení </w:t>
      </w:r>
      <w:r w:rsidRPr="00F0304C">
        <w:rPr>
          <w:rFonts w:ascii="Garamond" w:hAnsi="Garamond"/>
          <w:sz w:val="24"/>
          <w:szCs w:val="24"/>
        </w:rPr>
        <w:lastRenderedPageBreak/>
        <w:t>by mohlo přímo anebo nepřímo ohrozit bezpečnost těchto osobních údajů. Tato povinnost trvá i po ukončení této Smlouvy.</w:t>
      </w:r>
    </w:p>
    <w:p w:rsidR="00E45D43" w:rsidRPr="00F0304C" w:rsidRDefault="00E45D43" w:rsidP="00E45D43">
      <w:pPr>
        <w:pStyle w:val="Nadpis1"/>
        <w:tabs>
          <w:tab w:val="clear" w:pos="957"/>
          <w:tab w:val="num" w:pos="357"/>
        </w:tabs>
        <w:ind w:left="357"/>
        <w:rPr>
          <w:rFonts w:ascii="Garamond" w:hAnsi="Garamond"/>
          <w:sz w:val="24"/>
          <w:szCs w:val="24"/>
        </w:rPr>
      </w:pPr>
      <w:r w:rsidRPr="00F0304C">
        <w:rPr>
          <w:rFonts w:ascii="Garamond" w:hAnsi="Garamond"/>
          <w:sz w:val="24"/>
          <w:szCs w:val="24"/>
        </w:rPr>
        <w:t xml:space="preserve">Duševní vlastnictví </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Práce, plnění anebo výkony hmotné i nehmotné povahy (dále jen „</w:t>
      </w:r>
      <w:r w:rsidRPr="00F0304C">
        <w:rPr>
          <w:rFonts w:ascii="Garamond" w:hAnsi="Garamond"/>
          <w:b/>
          <w:sz w:val="24"/>
          <w:szCs w:val="24"/>
        </w:rPr>
        <w:t>Výkony a plnění</w:t>
      </w:r>
      <w:r w:rsidRPr="00F0304C">
        <w:rPr>
          <w:rFonts w:ascii="Garamond" w:hAnsi="Garamond"/>
          <w:sz w:val="24"/>
          <w:szCs w:val="24"/>
        </w:rPr>
        <w:t>“) znamenají úkony a plnění, jež má Zaměstnanec provést v souvislosti s plněním závazků Zaměstnance z titulu této Smlouvy, zejména veškerá díla, nápady, postupy, počítačové programy, databáze, know-how, systémy, záznamy, zápisy, zprávy, nákresy, plány nebo jiná plnění, jež Zaměstnanec vytvoří nebo navrhne, ať již sám nebo ve spolupráci s jinými zaměstnanci Zaměstnavatele či jakýchkoli společností v koncernu Zaměstnavatele, jejich klientů či dodavatelů anebo spolupracovníků</w:t>
      </w:r>
      <w:r w:rsidRPr="00F0304C" w:rsidDel="00B104BB">
        <w:rPr>
          <w:rFonts w:ascii="Garamond" w:hAnsi="Garamond"/>
          <w:sz w:val="24"/>
          <w:szCs w:val="24"/>
        </w:rPr>
        <w:t xml:space="preserve"> </w:t>
      </w:r>
      <w:r w:rsidRPr="00F0304C">
        <w:rPr>
          <w:rFonts w:ascii="Garamond" w:hAnsi="Garamond"/>
          <w:sz w:val="24"/>
          <w:szCs w:val="24"/>
        </w:rPr>
        <w:t>v souvislosti s touto Smlouvou nebo v rámci plnění jiných povinností Zaměstnance.</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Duševní vlastnictví (dále jen „</w:t>
      </w:r>
      <w:r w:rsidRPr="00F0304C">
        <w:rPr>
          <w:rFonts w:ascii="Garamond" w:hAnsi="Garamond"/>
          <w:b/>
          <w:sz w:val="24"/>
          <w:szCs w:val="24"/>
        </w:rPr>
        <w:t>Duševní vlastnictví</w:t>
      </w:r>
      <w:r w:rsidRPr="00F0304C">
        <w:rPr>
          <w:rFonts w:ascii="Garamond" w:hAnsi="Garamond"/>
          <w:sz w:val="24"/>
          <w:szCs w:val="24"/>
        </w:rPr>
        <w:t>“) znamená veškerá práva a podíly na duševním nebo průmyslovém vlastnictví, jež požívají ochrany z titulu patentových práv, autorského práva nebo jiných práv z duševního vlastnictví kdekoli na světě.</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Všechny Výkony a plnění vytvořené Zaměstnancem jsou pokládány za díla zaměstnanecká ve smyslu § 58 zákona č. 121/2000 Sb., autorský zákon, vytvořená ke splnění povinností Zaměstnance vyplývajících z jeho pracovního poměru k Zaměstnavateli. Zaměstnanec tímto dává Zaměstnavateli v nejširším možném rozsahu právo převést některá nebo veškerá práva k takovým Výkonům a plněním na třetí osoby, a to za podmínek, jež si Zaměstnavatel sám stanoví. Zaměstnanec uděluje Zaměstnavateli v nejširším možném rozsahu právo dokončit nehotové dílo nebo jeho část vždy v kterékoli fázi, a to i prostřednictvím třetích osob.</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Zaměstnanec tímto potvrzuje, že mzda zakotvená touto Smlouvou představuje úhradu za jeho čas a úsilí věnované vytvoření Výkonů a plnění a veškerá práva k Duševnímu vlastnictví k takovým Výkonům a plněním udělená Zaměstnavateli dle této Smlouvy. Zaměstnanec dále potvrzuje, že Zaměstnavatel nemá vůči Zaměstnanci s ohledem na Duševní vlastnictví žádné další závazky.</w:t>
      </w:r>
    </w:p>
    <w:p w:rsidR="00E45D43" w:rsidRPr="00F0304C" w:rsidRDefault="00E45D43" w:rsidP="00E45D43">
      <w:pPr>
        <w:pStyle w:val="Nadpis2"/>
        <w:tabs>
          <w:tab w:val="clear" w:pos="608"/>
          <w:tab w:val="num" w:pos="576"/>
        </w:tabs>
        <w:spacing w:line="240" w:lineRule="auto"/>
        <w:ind w:left="576"/>
        <w:rPr>
          <w:rFonts w:ascii="Garamond" w:hAnsi="Garamond"/>
          <w:color w:val="3366FF"/>
          <w:sz w:val="24"/>
          <w:szCs w:val="24"/>
        </w:rPr>
      </w:pPr>
      <w:r w:rsidRPr="00F0304C">
        <w:rPr>
          <w:rFonts w:ascii="Garamond" w:hAnsi="Garamond"/>
          <w:sz w:val="24"/>
          <w:szCs w:val="24"/>
        </w:rPr>
        <w:t>Veškerá majetková práva k Duševnímu vlastnictví, související s Výkony a plněními, včetně jakýchkoli dokumentů a informací na jakýchkoli mediích a software nebo jiných materiálů, vytvořenými pro Zaměstnavatele přímo nebo nepřímo v souvislosti s touto Smlouvou, budou vykonávána výlučně Zaměstnavatelem a Zaměstnanec není oprávněn tyto zpřístupnit a/nebo užívat, ledaže by se jednalo o plnění povinností vyplývajících z této Smlouvy nebo ze zvláštní písemné smlouvy se Zaměstnavatelem.</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Zaměstnanec se zavazuje poskytnout Zaměstnavateli veškerou součinnost při ochraně Duševního vlastnictví nebo jeho registraci.</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Zaměstnanec tímto prohlašuje, že v době podpisu této Smlouvy neexistuje žádné Duševní vlastnictví, které by chtěl vyloučit z ustanovení této Smlouvy.</w:t>
      </w:r>
    </w:p>
    <w:p w:rsidR="00E45D43" w:rsidRPr="00F0304C" w:rsidRDefault="00E45D43" w:rsidP="00E45D43">
      <w:pPr>
        <w:pStyle w:val="Nadpis2"/>
        <w:spacing w:line="240" w:lineRule="auto"/>
        <w:rPr>
          <w:rFonts w:ascii="Garamond" w:hAnsi="Garamond"/>
          <w:sz w:val="24"/>
          <w:szCs w:val="24"/>
        </w:rPr>
      </w:pPr>
      <w:r w:rsidRPr="00F0304C">
        <w:rPr>
          <w:rFonts w:ascii="Garamond" w:hAnsi="Garamond"/>
          <w:sz w:val="24"/>
          <w:szCs w:val="24"/>
        </w:rPr>
        <w:t xml:space="preserve">V případě, že by právní předpisy neumožňovaly, aby majetková práva k Duševnímu vlastnictví související s Výkony a plněními byla výlučně vykonávána Zaměstnavatelem, a pokud se Zaměstnanec a Zaměstnavatel výslovně písemně nedohodnou jinak, Zaměstnanec tímto dává Zaměstnavateli výhradní licenci, s účinností k okamžiku jejich vytvoření nebo vzniku. Licence dle předchozí věty je nevypověditelná, neodvolatelná, výhradní, (místně, časově a věcně) neomezená, celosvětová v nejširším možném rozsahu takového vymezení, postupitelná a převoditelná a je udělena k užívání Výkonů a plnění anebo jakékoli jejich části prostřednictvím jakéhokoli média, ať již je či není známé v současnosti, a to po celou dobu trvání takových majetkových práv. Zaměstnavatel je oprávněn třetím osobám převést nebo udělit sublicence k právům poskytnutým na základě uvedené licence, a to za podmínek, jaké </w:t>
      </w:r>
      <w:r w:rsidRPr="00F0304C">
        <w:rPr>
          <w:rFonts w:ascii="Garamond" w:hAnsi="Garamond"/>
          <w:sz w:val="24"/>
          <w:szCs w:val="24"/>
        </w:rPr>
        <w:lastRenderedPageBreak/>
        <w:t xml:space="preserve">uzná za vhodné, jakož i právo poskytnout sublicenci v plném rozsahu licence Zaměstnavatele. Zaměstnavatel má mimo jiné právo reprodukovat, vystavovat, provozovat, distribuovat, pronajímat, importovat a exportovat Výkony a plnění anebo jakoukoli jejich část, a dále je upravovat nebo překládat, jak Zaměstnavatel uzná za vhodné s tím, že bude při výkonu práv dbát ostatních práv Zaměstnance jako autora. Zaměstnanec souhlasí s tím, aby Zaměstnavatel uváděl svou doložku copyright v souvislosti s Výkony a plněními nebo jakoukoli jejich částí. </w:t>
      </w:r>
    </w:p>
    <w:p w:rsidR="00E45D43" w:rsidRPr="00F0304C" w:rsidRDefault="00E45D43" w:rsidP="00E45D43">
      <w:pPr>
        <w:pStyle w:val="Nadpis2"/>
        <w:tabs>
          <w:tab w:val="clear" w:pos="608"/>
          <w:tab w:val="num" w:pos="576"/>
        </w:tabs>
        <w:spacing w:line="240" w:lineRule="auto"/>
        <w:ind w:left="576"/>
        <w:rPr>
          <w:rFonts w:ascii="Garamond" w:hAnsi="Garamond"/>
          <w:sz w:val="24"/>
          <w:szCs w:val="24"/>
        </w:rPr>
      </w:pPr>
      <w:r w:rsidRPr="00F0304C">
        <w:rPr>
          <w:rFonts w:ascii="Garamond" w:hAnsi="Garamond"/>
          <w:sz w:val="24"/>
          <w:szCs w:val="24"/>
        </w:rPr>
        <w:t>Zaměstnanec prohlašuje, že zpřístupnění jakýchkoli informací vztahujících se k jeho profesní činnosti, bývalému nebo současnému pracovněprávnímu vztahu, podnikatelským aktivitám či jakékoli jiné (výdělečné) činnosti, nebude představovat, popř. nevyústí v porušení jakékoli závazku, povinnosti Zaměstnance, a to bez ohledu na jeho formu. Zaměstnanec se zejména (nikoli však výlučně) zavazuje zdržet jednání, které by mohlo vést k porušení práv duševního vlastnictví, obchodního tajemství třetích stran nebo jiných dohod, kdy porušení by mohlo vyplývat např. z dohod o mlčenlivosti, dohod o utajení či tzv. „non-</w:t>
      </w:r>
      <w:proofErr w:type="spellStart"/>
      <w:r w:rsidRPr="00F0304C">
        <w:rPr>
          <w:rFonts w:ascii="Garamond" w:hAnsi="Garamond"/>
          <w:sz w:val="24"/>
          <w:szCs w:val="24"/>
        </w:rPr>
        <w:t>solicitation</w:t>
      </w:r>
      <w:proofErr w:type="spellEnd"/>
      <w:r w:rsidRPr="00F0304C">
        <w:rPr>
          <w:rFonts w:ascii="Garamond" w:hAnsi="Garamond"/>
          <w:sz w:val="24"/>
          <w:szCs w:val="24"/>
        </w:rPr>
        <w:t>“ závazků (nepřetahování zaměstnanců nebo jiných osob či subjektů).</w:t>
      </w:r>
    </w:p>
    <w:p w:rsidR="00E45D43" w:rsidRPr="00F0304C" w:rsidRDefault="00E45D43" w:rsidP="00E45D43">
      <w:pPr>
        <w:pStyle w:val="Zkladntext"/>
        <w:rPr>
          <w:rFonts w:ascii="Garamond" w:hAnsi="Garamond"/>
          <w:sz w:val="24"/>
          <w:szCs w:val="24"/>
        </w:rPr>
      </w:pPr>
    </w:p>
    <w:sectPr w:rsidR="00E45D43" w:rsidRPr="00F030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0FB" w:rsidRDefault="001520FB" w:rsidP="00E45D43">
      <w:pPr>
        <w:spacing w:after="0" w:line="240" w:lineRule="auto"/>
      </w:pPr>
      <w:r>
        <w:separator/>
      </w:r>
    </w:p>
  </w:endnote>
  <w:endnote w:type="continuationSeparator" w:id="0">
    <w:p w:rsidR="001520FB" w:rsidRDefault="001520FB" w:rsidP="00E4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43" w:rsidRPr="00E45D43" w:rsidRDefault="00E45D43">
    <w:pPr>
      <w:pStyle w:val="Zpat"/>
      <w:jc w:val="right"/>
      <w:rPr>
        <w:rFonts w:ascii="Arial" w:hAnsi="Arial" w:cs="Arial"/>
        <w:sz w:val="18"/>
        <w:szCs w:val="18"/>
      </w:rPr>
    </w:pPr>
    <w:r w:rsidRPr="00E45D43">
      <w:rPr>
        <w:rFonts w:ascii="Arial" w:hAnsi="Arial" w:cs="Arial"/>
        <w:sz w:val="18"/>
        <w:szCs w:val="18"/>
      </w:rPr>
      <w:fldChar w:fldCharType="begin"/>
    </w:r>
    <w:r w:rsidRPr="00E45D43">
      <w:rPr>
        <w:rFonts w:ascii="Arial" w:hAnsi="Arial" w:cs="Arial"/>
        <w:sz w:val="18"/>
        <w:szCs w:val="18"/>
      </w:rPr>
      <w:instrText>PAGE   \* MERGEFORMAT</w:instrText>
    </w:r>
    <w:r w:rsidRPr="00E45D43">
      <w:rPr>
        <w:rFonts w:ascii="Arial" w:hAnsi="Arial" w:cs="Arial"/>
        <w:sz w:val="18"/>
        <w:szCs w:val="18"/>
      </w:rPr>
      <w:fldChar w:fldCharType="separate"/>
    </w:r>
    <w:r w:rsidR="006811E6">
      <w:rPr>
        <w:rFonts w:ascii="Arial" w:hAnsi="Arial" w:cs="Arial"/>
        <w:noProof/>
        <w:sz w:val="18"/>
        <w:szCs w:val="18"/>
      </w:rPr>
      <w:t>1</w:t>
    </w:r>
    <w:r w:rsidRPr="00E45D43">
      <w:rPr>
        <w:rFonts w:ascii="Arial" w:hAnsi="Arial" w:cs="Arial"/>
        <w:sz w:val="18"/>
        <w:szCs w:val="18"/>
      </w:rPr>
      <w:fldChar w:fldCharType="end"/>
    </w:r>
  </w:p>
  <w:p w:rsidR="00E45D43" w:rsidRDefault="00E45D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0FB" w:rsidRDefault="001520FB" w:rsidP="00E45D43">
      <w:pPr>
        <w:spacing w:after="0" w:line="240" w:lineRule="auto"/>
      </w:pPr>
      <w:r>
        <w:separator/>
      </w:r>
    </w:p>
  </w:footnote>
  <w:footnote w:type="continuationSeparator" w:id="0">
    <w:p w:rsidR="001520FB" w:rsidRDefault="001520FB" w:rsidP="00E4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43" w:rsidRPr="00F0304C" w:rsidRDefault="00E45D43" w:rsidP="00E45D43">
    <w:pPr>
      <w:pStyle w:val="Zhlav"/>
      <w:spacing w:after="0" w:line="240" w:lineRule="auto"/>
      <w:jc w:val="right"/>
      <w:rPr>
        <w:rFonts w:ascii="Garamond" w:hAnsi="Garamond"/>
        <w:i/>
      </w:rPr>
    </w:pPr>
    <w:r w:rsidRPr="00F0304C">
      <w:rPr>
        <w:rFonts w:ascii="Garamond" w:hAnsi="Garamond"/>
        <w:i/>
      </w:rPr>
      <w:t>Některá vzorová ustanovení pracovní smlouvy</w:t>
    </w:r>
  </w:p>
  <w:p w:rsidR="00E45D43" w:rsidRPr="00F0304C" w:rsidRDefault="00E45D43" w:rsidP="00E45D43">
    <w:pPr>
      <w:pStyle w:val="Zhlav"/>
      <w:spacing w:after="0" w:line="240" w:lineRule="auto"/>
      <w:jc w:val="right"/>
      <w:rPr>
        <w:rFonts w:ascii="Garamond" w:hAnsi="Garamond"/>
        <w:i/>
      </w:rPr>
    </w:pPr>
    <w:r w:rsidRPr="00F0304C">
      <w:rPr>
        <w:rFonts w:ascii="Garamond" w:hAnsi="Garamond"/>
        <w:i/>
      </w:rPr>
      <w:t xml:space="preserve">Užívat uvážlivě! </w:t>
    </w:r>
  </w:p>
  <w:p w:rsidR="00E45D43" w:rsidRPr="00E45D43" w:rsidRDefault="00E45D43">
    <w:pPr>
      <w:pStyle w:val="Zhlav"/>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B5998"/>
    <w:multiLevelType w:val="multilevel"/>
    <w:tmpl w:val="022CC7F2"/>
    <w:lvl w:ilvl="0">
      <w:start w:val="1"/>
      <w:numFmt w:val="decimal"/>
      <w:pStyle w:val="Nadpis1"/>
      <w:lvlText w:val="Článek %1"/>
      <w:lvlJc w:val="left"/>
      <w:pPr>
        <w:tabs>
          <w:tab w:val="num" w:pos="957"/>
        </w:tabs>
        <w:ind w:left="957" w:hanging="357"/>
      </w:pPr>
      <w:rPr>
        <w:rFonts w:hint="default"/>
      </w:rPr>
    </w:lvl>
    <w:lvl w:ilvl="1">
      <w:start w:val="1"/>
      <w:numFmt w:val="decimal"/>
      <w:pStyle w:val="Nadpis2"/>
      <w:lvlText w:val="%1.%2"/>
      <w:lvlJc w:val="left"/>
      <w:pPr>
        <w:tabs>
          <w:tab w:val="num" w:pos="608"/>
        </w:tabs>
        <w:ind w:left="608" w:hanging="576"/>
      </w:pPr>
      <w:rPr>
        <w:rFonts w:hint="default"/>
        <w:color w:val="auto"/>
      </w:rPr>
    </w:lvl>
    <w:lvl w:ilvl="2">
      <w:start w:val="1"/>
      <w:numFmt w:val="decimal"/>
      <w:pStyle w:val="Nadpis3"/>
      <w:lvlText w:val="%1.%2.%3"/>
      <w:lvlJc w:val="left"/>
      <w:pPr>
        <w:tabs>
          <w:tab w:val="num" w:pos="752"/>
        </w:tabs>
        <w:ind w:left="752" w:hanging="720"/>
      </w:pPr>
      <w:rPr>
        <w:rFonts w:hint="default"/>
      </w:rPr>
    </w:lvl>
    <w:lvl w:ilvl="3">
      <w:start w:val="1"/>
      <w:numFmt w:val="lowerRoman"/>
      <w:lvlText w:val="%4"/>
      <w:lvlJc w:val="left"/>
      <w:pPr>
        <w:tabs>
          <w:tab w:val="num" w:pos="896"/>
        </w:tabs>
        <w:ind w:left="896" w:hanging="864"/>
      </w:pPr>
      <w:rPr>
        <w:rFonts w:hint="default"/>
      </w:rPr>
    </w:lvl>
    <w:lvl w:ilvl="4">
      <w:start w:val="1"/>
      <w:numFmt w:val="none"/>
      <w:lvlText w:val=""/>
      <w:lvlJc w:val="left"/>
      <w:pPr>
        <w:tabs>
          <w:tab w:val="num" w:pos="1040"/>
        </w:tabs>
        <w:ind w:left="1040" w:hanging="1008"/>
      </w:pPr>
      <w:rPr>
        <w:rFonts w:hint="default"/>
      </w:rPr>
    </w:lvl>
    <w:lvl w:ilvl="5">
      <w:start w:val="1"/>
      <w:numFmt w:val="none"/>
      <w:lvlText w:val=""/>
      <w:lvlJc w:val="left"/>
      <w:pPr>
        <w:tabs>
          <w:tab w:val="num" w:pos="1184"/>
        </w:tabs>
        <w:ind w:left="1184" w:hanging="1152"/>
      </w:pPr>
      <w:rPr>
        <w:rFonts w:hint="default"/>
      </w:rPr>
    </w:lvl>
    <w:lvl w:ilvl="6">
      <w:start w:val="1"/>
      <w:numFmt w:val="none"/>
      <w:lvlText w:val=""/>
      <w:lvlJc w:val="left"/>
      <w:pPr>
        <w:tabs>
          <w:tab w:val="num" w:pos="1328"/>
        </w:tabs>
        <w:ind w:left="1328" w:hanging="1296"/>
      </w:pPr>
      <w:rPr>
        <w:rFonts w:hint="default"/>
      </w:rPr>
    </w:lvl>
    <w:lvl w:ilvl="7">
      <w:start w:val="1"/>
      <w:numFmt w:val="none"/>
      <w:lvlText w:val=""/>
      <w:lvlJc w:val="left"/>
      <w:pPr>
        <w:tabs>
          <w:tab w:val="num" w:pos="1472"/>
        </w:tabs>
        <w:ind w:left="1472" w:hanging="1440"/>
      </w:pPr>
      <w:rPr>
        <w:rFonts w:hint="default"/>
      </w:rPr>
    </w:lvl>
    <w:lvl w:ilvl="8">
      <w:start w:val="1"/>
      <w:numFmt w:val="none"/>
      <w:lvlText w:val=""/>
      <w:lvlJc w:val="left"/>
      <w:pPr>
        <w:tabs>
          <w:tab w:val="num" w:pos="1616"/>
        </w:tabs>
        <w:ind w:left="1616"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3"/>
    <w:rsid w:val="001520FB"/>
    <w:rsid w:val="0027711B"/>
    <w:rsid w:val="002913AD"/>
    <w:rsid w:val="005A5D58"/>
    <w:rsid w:val="006811E6"/>
    <w:rsid w:val="00712A0B"/>
    <w:rsid w:val="00A06BAA"/>
    <w:rsid w:val="00A65ED7"/>
    <w:rsid w:val="00E45D43"/>
    <w:rsid w:val="00EE45B7"/>
    <w:rsid w:val="00F0304C"/>
    <w:rsid w:val="00F56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F6034-E564-46F1-9B86-CC92FF10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Zkladntext"/>
    <w:link w:val="Nadpis1Char"/>
    <w:qFormat/>
    <w:rsid w:val="00E45D43"/>
    <w:pPr>
      <w:keepNext/>
      <w:numPr>
        <w:numId w:val="1"/>
      </w:numPr>
      <w:spacing w:before="360" w:after="240" w:line="240" w:lineRule="auto"/>
      <w:jc w:val="both"/>
      <w:outlineLvl w:val="0"/>
    </w:pPr>
    <w:rPr>
      <w:rFonts w:ascii="Arial" w:eastAsia="Times New Roman" w:hAnsi="Arial" w:cs="Arial"/>
      <w:b/>
      <w:sz w:val="20"/>
      <w:szCs w:val="32"/>
    </w:rPr>
  </w:style>
  <w:style w:type="paragraph" w:styleId="Nadpis2">
    <w:name w:val="heading 2"/>
    <w:basedOn w:val="Normln"/>
    <w:next w:val="Zkladntext"/>
    <w:link w:val="Nadpis2Char"/>
    <w:qFormat/>
    <w:rsid w:val="00E45D43"/>
    <w:pPr>
      <w:numPr>
        <w:ilvl w:val="1"/>
        <w:numId w:val="1"/>
      </w:numPr>
      <w:spacing w:before="60" w:after="60" w:line="312" w:lineRule="auto"/>
      <w:jc w:val="both"/>
      <w:outlineLvl w:val="1"/>
    </w:pPr>
    <w:rPr>
      <w:rFonts w:ascii="Arial" w:eastAsia="Times New Roman" w:hAnsi="Arial" w:cs="Arial"/>
      <w:iCs/>
      <w:sz w:val="20"/>
      <w:szCs w:val="28"/>
    </w:rPr>
  </w:style>
  <w:style w:type="paragraph" w:styleId="Nadpis3">
    <w:name w:val="heading 3"/>
    <w:basedOn w:val="Normln"/>
    <w:next w:val="Zkladntext"/>
    <w:link w:val="Nadpis3Char"/>
    <w:qFormat/>
    <w:rsid w:val="00E45D43"/>
    <w:pPr>
      <w:keepNext/>
      <w:numPr>
        <w:ilvl w:val="2"/>
        <w:numId w:val="1"/>
      </w:numPr>
      <w:spacing w:before="60" w:after="60" w:line="240" w:lineRule="auto"/>
      <w:jc w:val="both"/>
      <w:outlineLvl w:val="2"/>
    </w:pPr>
    <w:rPr>
      <w:rFonts w:ascii="Arial" w:eastAsia="Times New Roman" w:hAnsi="Arial" w:cs="Arial"/>
      <w:bCs/>
      <w:sz w:val="20"/>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45D43"/>
    <w:rPr>
      <w:rFonts w:ascii="Arial" w:eastAsia="Times New Roman" w:hAnsi="Arial" w:cs="Arial"/>
      <w:b/>
      <w:szCs w:val="32"/>
      <w:lang w:eastAsia="en-US"/>
    </w:rPr>
  </w:style>
  <w:style w:type="character" w:customStyle="1" w:styleId="Nadpis2Char">
    <w:name w:val="Nadpis 2 Char"/>
    <w:link w:val="Nadpis2"/>
    <w:rsid w:val="00E45D43"/>
    <w:rPr>
      <w:rFonts w:ascii="Arial" w:eastAsia="Times New Roman" w:hAnsi="Arial" w:cs="Arial"/>
      <w:iCs/>
      <w:szCs w:val="28"/>
      <w:lang w:eastAsia="en-US"/>
    </w:rPr>
  </w:style>
  <w:style w:type="character" w:customStyle="1" w:styleId="Nadpis3Char">
    <w:name w:val="Nadpis 3 Char"/>
    <w:link w:val="Nadpis3"/>
    <w:rsid w:val="00E45D43"/>
    <w:rPr>
      <w:rFonts w:ascii="Arial" w:eastAsia="Times New Roman" w:hAnsi="Arial" w:cs="Arial"/>
      <w:bCs/>
      <w:szCs w:val="26"/>
      <w:u w:val="single"/>
      <w:lang w:eastAsia="en-US"/>
    </w:rPr>
  </w:style>
  <w:style w:type="paragraph" w:styleId="Zkladntext">
    <w:name w:val="Body Text"/>
    <w:basedOn w:val="Normln"/>
    <w:link w:val="ZkladntextChar"/>
    <w:uiPriority w:val="99"/>
    <w:semiHidden/>
    <w:unhideWhenUsed/>
    <w:rsid w:val="00E45D43"/>
    <w:pPr>
      <w:spacing w:after="120"/>
    </w:pPr>
  </w:style>
  <w:style w:type="character" w:customStyle="1" w:styleId="ZkladntextChar">
    <w:name w:val="Základní text Char"/>
    <w:link w:val="Zkladntext"/>
    <w:uiPriority w:val="99"/>
    <w:semiHidden/>
    <w:rsid w:val="00E45D43"/>
    <w:rPr>
      <w:sz w:val="22"/>
      <w:szCs w:val="22"/>
      <w:lang w:eastAsia="en-US"/>
    </w:rPr>
  </w:style>
  <w:style w:type="paragraph" w:styleId="Zhlav">
    <w:name w:val="header"/>
    <w:basedOn w:val="Normln"/>
    <w:link w:val="ZhlavChar"/>
    <w:uiPriority w:val="99"/>
    <w:unhideWhenUsed/>
    <w:rsid w:val="00E45D43"/>
    <w:pPr>
      <w:tabs>
        <w:tab w:val="center" w:pos="4536"/>
        <w:tab w:val="right" w:pos="9072"/>
      </w:tabs>
    </w:pPr>
  </w:style>
  <w:style w:type="character" w:customStyle="1" w:styleId="ZhlavChar">
    <w:name w:val="Záhlaví Char"/>
    <w:link w:val="Zhlav"/>
    <w:uiPriority w:val="99"/>
    <w:rsid w:val="00E45D43"/>
    <w:rPr>
      <w:sz w:val="22"/>
      <w:szCs w:val="22"/>
      <w:lang w:eastAsia="en-US"/>
    </w:rPr>
  </w:style>
  <w:style w:type="paragraph" w:styleId="Zpat">
    <w:name w:val="footer"/>
    <w:basedOn w:val="Normln"/>
    <w:link w:val="ZpatChar"/>
    <w:uiPriority w:val="99"/>
    <w:unhideWhenUsed/>
    <w:rsid w:val="00E45D43"/>
    <w:pPr>
      <w:tabs>
        <w:tab w:val="center" w:pos="4536"/>
        <w:tab w:val="right" w:pos="9072"/>
      </w:tabs>
    </w:pPr>
  </w:style>
  <w:style w:type="character" w:customStyle="1" w:styleId="ZpatChar">
    <w:name w:val="Zápatí Char"/>
    <w:link w:val="Zpat"/>
    <w:uiPriority w:val="99"/>
    <w:rsid w:val="00E45D43"/>
    <w:rPr>
      <w:sz w:val="22"/>
      <w:szCs w:val="22"/>
      <w:lang w:eastAsia="en-US"/>
    </w:rPr>
  </w:style>
  <w:style w:type="paragraph" w:styleId="Textbubliny">
    <w:name w:val="Balloon Text"/>
    <w:basedOn w:val="Normln"/>
    <w:link w:val="TextbublinyChar"/>
    <w:uiPriority w:val="99"/>
    <w:semiHidden/>
    <w:unhideWhenUsed/>
    <w:rsid w:val="00E45D4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E45D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6E03-92E5-4CFC-B7AD-4EA9B404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1255</Words>
  <Characters>7155</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CEAG s.r.o.</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ceag</dc:creator>
  <cp:lastModifiedBy>Barbora Gaveau</cp:lastModifiedBy>
  <cp:revision>4</cp:revision>
  <dcterms:created xsi:type="dcterms:W3CDTF">2018-06-15T10:48:00Z</dcterms:created>
  <dcterms:modified xsi:type="dcterms:W3CDTF">2018-06-19T08:03:00Z</dcterms:modified>
</cp:coreProperties>
</file>